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浙江康复医疗中心2022年公开招聘笔试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13"/>
          <w:szCs w:val="13"/>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疫情防控公告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0"/>
        <w:jc w:val="center"/>
        <w:textAlignment w:val="auto"/>
        <w:rPr>
          <w:rFonts w:hint="default" w:ascii="Helvetica" w:hAnsi="Helvetica" w:eastAsia="Helvetica" w:cs="Helvetica"/>
          <w:i w:val="0"/>
          <w:iCs w:val="0"/>
          <w:caps w:val="0"/>
          <w:color w:val="auto"/>
          <w:spacing w:val="0"/>
          <w:sz w:val="13"/>
          <w:szCs w:val="13"/>
        </w:rPr>
      </w:pPr>
      <w:r>
        <w:rPr>
          <w:rFonts w:hint="default" w:ascii="Times New Roman" w:hAnsi="Times New Roman" w:eastAsia="Helvetica" w:cs="Times New Roman"/>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为确保2022年浙江康复医疗中心公开招聘工作安全顺利进行，根据浙江省疫情防控有关要求，现将我中心公开招聘笔试新冠肺炎疫情防控有关事项公告如下：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一、来浙返浙人员防疫政策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（一）对入境来浙返浙人员实施“14+7+7”健康管理措施，即先实施14天集中隔离医学观察，继续实施7天居家健康观察，再实施7天日常健康监测；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二）对国内疫情中高风险地区所在乡镇（街道）来浙返浙人员,实施“14+7”健康管理措施，即先实施14天集中隔离医学观察，再实施7天居家健康观察；对全域封闭管理地区、同时空伴随人员，参照实施“14+7”健康管理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三）对国内疫情中高风险地区所在县(市、区)的其他来浙返浙人员，实施“2+14”健康管理措施（需持核酸检测阴性报告方能离开的地区、全域核酸检测地区及有涉疫风险的交通枢纽来浙返浙人员，参照实施“2+14”健康管理措施）。入浙时需核验2天（48小时）内新冠病毒核酸检测阴性证明。无证明的,就近引导至综合服务点等指定场所接受核酸检测。结果为阴性的,纳入14天日常健康监测。对实施日常健康监测的人员要求其控制活动范围,不乘坐公共交通工具，不参加会议、会展、旅游、聚餐等聚集性活动,不进入学校、托育机构、养老院、福利院等特定机构,不进入影剧院、歌舞厅、浴室、网吧等室内密闭场所，不开展线下教学、培训等活动，外出时须全程规范佩戴口罩，切实保持安全社交距离，原则上在结束日常健康监测前不离开所在县（市、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以上健康管理措施时限仅适用于各阶段结束前核酸检测阴性的条件下。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二、考生防疫要求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所有考生须在笔试前14天完成浙江“健康码”的申领，并每日进行更新。如实填报考前14天个人健康状态并填写承诺书。凡隐瞒或谎报旅居史、接触史、健康状况等疫情防控重点信息的，不配合工作人员进行健康检疫、询问、查询、送诊等造成严重后果的，取消其考试资格，并按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当天，考生须凭本人有效身份证原件、纸质准考证，出示浙江“健康码”绿码、“通信大数据绿色行程卡”，佩带口罩，提供本人实际参加的首场考试前48小时内（以采样时间为准）新型冠状病毒核酸检测阴性报告（纸质报告原件或电子报告），经现场查验符合要求、测量体温正常后入场参加考试。以上提供材料不全或不符合要求的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生在考前有发热（口腔温度37.3℃及以上）、干咳、乏力、鼻塞、流涕、咽痛、结膜炎、嗅（味）觉减退、肌痛、腹泻等症状的，应及时就医，必要时出示就医凭证，排除新冠肺炎后方可参加考试。考试当天或考试过程中，考生出现上述症状的，应主动向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13"/>
          <w:szCs w:val="13"/>
        </w:rPr>
      </w:pPr>
      <w:r>
        <w:rPr>
          <w:rFonts w:hint="eastAsia" w:ascii="黑体" w:hAnsi="黑体" w:eastAsia="黑体" w:cs="黑体"/>
          <w:i w:val="0"/>
          <w:iCs w:val="0"/>
          <w:caps w:val="0"/>
          <w:color w:val="auto"/>
          <w:spacing w:val="0"/>
          <w:kern w:val="0"/>
          <w:sz w:val="32"/>
          <w:szCs w:val="32"/>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3.在组织报名资格复审、体测体检等工作时，将按有关规定落实疫情防控要求，请广大考生理解并予以配合。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4.请考生持续关注新冠肺炎疫情动态和杭州市疫情防控最新要求，考前如有新的调整和要求，将另行告知。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righ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1065" w:rightChars="507" w:firstLine="640" w:firstLineChars="0"/>
        <w:jc w:val="right"/>
        <w:textAlignment w:val="auto"/>
        <w:outlineLvl w:val="9"/>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浙江康复医疗中心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840" w:rightChars="400" w:firstLine="640" w:firstLineChars="0"/>
        <w:jc w:val="right"/>
        <w:textAlignment w:val="auto"/>
        <w:outlineLvl w:val="9"/>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2021年12月31日 </w:t>
      </w:r>
      <w:bookmarkStart w:id="0" w:name="_GoBack"/>
      <w:bookmarkEnd w:id="0"/>
    </w:p>
    <w:p>
      <w:pPr>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华文中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关于浙江“健康码”</w:t>
      </w:r>
      <w:r>
        <w:rPr>
          <w:rFonts w:hint="eastAsia" w:ascii="方正小标宋简体" w:hAnsi="方正小标宋简体" w:eastAsia="方正小标宋简体" w:cs="方正小标宋简体"/>
          <w:b w:val="0"/>
          <w:bCs w:val="0"/>
          <w:color w:val="auto"/>
          <w:sz w:val="44"/>
          <w:szCs w:val="44"/>
          <w:lang w:val="en-US" w:eastAsia="zh-CN"/>
        </w:rPr>
        <w:t>以及</w:t>
      </w:r>
      <w:r>
        <w:rPr>
          <w:rFonts w:hint="eastAsia" w:ascii="方正小标宋简体" w:hAnsi="方正小标宋简体" w:eastAsia="方正小标宋简体" w:cs="方正小标宋简体"/>
          <w:b w:val="0"/>
          <w:bCs w:val="0"/>
          <w:color w:val="auto"/>
          <w:sz w:val="44"/>
          <w:szCs w:val="44"/>
        </w:rPr>
        <w:t>疫情防控行程卡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申领使用等有关问题的说明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华文中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b w:val="0"/>
          <w:bCs w:val="0"/>
          <w:color w:val="auto"/>
          <w:sz w:val="32"/>
          <w:szCs w:val="40"/>
        </w:rPr>
      </w:pPr>
      <w:r>
        <w:rPr>
          <w:rFonts w:hint="eastAsia" w:ascii="Times New Roman" w:hAnsi="Times New Roman" w:eastAsia="黑体"/>
          <w:b w:val="0"/>
          <w:bCs w:val="0"/>
          <w:color w:val="auto"/>
          <w:sz w:val="32"/>
          <w:szCs w:val="40"/>
        </w:rPr>
        <w:t>一、浙江“健康码”申领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hint="eastAsia" w:ascii="Times New Roman" w:hAnsi="Times New Roman" w:eastAsia="仿宋_GB2312"/>
          <w:color w:val="auto"/>
          <w:sz w:val="32"/>
          <w:szCs w:val="40"/>
        </w:rPr>
        <w:t>浙江“健康码”可通过两种途径申领。</w:t>
      </w:r>
      <w:r>
        <w:rPr>
          <w:rFonts w:hint="eastAsia" w:ascii="Times New Roman" w:hAnsi="Times New Roman" w:eastAsia="仿宋_GB2312"/>
          <w:b/>
          <w:color w:val="auto"/>
          <w:sz w:val="32"/>
          <w:szCs w:val="40"/>
        </w:rPr>
        <w:t>一是</w:t>
      </w:r>
      <w:r>
        <w:rPr>
          <w:rFonts w:hint="eastAsia" w:ascii="Times New Roman" w:hAnsi="Times New Roman" w:eastAsia="仿宋_GB2312"/>
          <w:color w:val="auto"/>
          <w:sz w:val="32"/>
          <w:szCs w:val="40"/>
        </w:rPr>
        <w:t>登录</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，进入首页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，在</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浙江健康码申领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栏目下选择对应城市办理；</w:t>
      </w:r>
      <w:r>
        <w:rPr>
          <w:rFonts w:hint="eastAsia" w:ascii="Times New Roman" w:hAnsi="Times New Roman" w:eastAsia="仿宋_GB2312"/>
          <w:b/>
          <w:color w:val="auto"/>
          <w:sz w:val="32"/>
          <w:szCs w:val="40"/>
        </w:rPr>
        <w:t>二是</w:t>
      </w:r>
      <w:r>
        <w:rPr>
          <w:rFonts w:hint="eastAsia" w:ascii="Times New Roman" w:hAnsi="Times New Roman" w:eastAsia="仿宋_GB2312"/>
          <w:color w:val="auto"/>
          <w:sz w:val="32"/>
          <w:szCs w:val="40"/>
        </w:rPr>
        <w:t>支付宝首页搜索</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浙江健康码</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，选择对应城市办理。其中：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1</w:t>
      </w:r>
      <w:r>
        <w:rPr>
          <w:rFonts w:hint="eastAsia" w:ascii="Times New Roman" w:hAnsi="Times New Roman" w:eastAsia="仿宋_GB2312"/>
          <w:color w:val="auto"/>
          <w:sz w:val="32"/>
          <w:szCs w:val="40"/>
          <w:lang w:val="en-US" w:eastAsia="zh-CN"/>
        </w:rPr>
        <w:t>．</w:t>
      </w:r>
      <w:r>
        <w:rPr>
          <w:rFonts w:hint="eastAsia" w:ascii="Times New Roman" w:hAnsi="Times New Roman" w:eastAsia="仿宋_GB2312"/>
          <w:color w:val="auto"/>
          <w:sz w:val="32"/>
          <w:szCs w:val="40"/>
        </w:rPr>
        <w:t>已注册</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2</w:t>
      </w:r>
      <w:r>
        <w:rPr>
          <w:rFonts w:hint="eastAsia" w:ascii="Times New Roman" w:hAnsi="Times New Roman" w:eastAsia="仿宋_GB2312"/>
          <w:color w:val="auto"/>
          <w:sz w:val="32"/>
          <w:szCs w:val="40"/>
          <w:lang w:eastAsia="zh-CN"/>
        </w:rPr>
        <w:t>．</w:t>
      </w:r>
      <w:r>
        <w:rPr>
          <w:rFonts w:hint="eastAsia" w:ascii="Times New Roman" w:hAnsi="Times New Roman" w:eastAsia="仿宋_GB2312"/>
          <w:color w:val="auto"/>
          <w:sz w:val="32"/>
          <w:szCs w:val="40"/>
        </w:rPr>
        <w:t>持有外省（市）健康码，且未申领浙江健康码的用户，通过</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跨省互认健康码申领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，无需填写信息即可领取跨省互认健康码。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3</w:t>
      </w:r>
      <w:r>
        <w:rPr>
          <w:rFonts w:hint="eastAsia" w:ascii="Times New Roman" w:hAnsi="Times New Roman" w:eastAsia="仿宋_GB2312"/>
          <w:color w:val="auto"/>
          <w:sz w:val="32"/>
          <w:szCs w:val="40"/>
          <w:lang w:eastAsia="zh-CN"/>
        </w:rPr>
        <w:t>．</w:t>
      </w:r>
      <w:r>
        <w:rPr>
          <w:rFonts w:hint="eastAsia" w:ascii="Times New Roman" w:hAnsi="Times New Roman" w:eastAsia="仿宋_GB2312"/>
          <w:color w:val="auto"/>
          <w:sz w:val="32"/>
          <w:szCs w:val="40"/>
        </w:rPr>
        <w:t>自境外入浙（返浙）人员，通过</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国际健康码申领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hint="eastAsia" w:ascii="Times New Roman" w:hAnsi="Times New Roman" w:eastAsia="仿宋_GB2312"/>
          <w:color w:val="auto"/>
          <w:sz w:val="32"/>
          <w:szCs w:val="40"/>
        </w:rPr>
        <w:t>如有疑问，可拨打咨询电话：（区号）</w:t>
      </w:r>
      <w:r>
        <w:rPr>
          <w:rFonts w:ascii="Times New Roman" w:hAnsi="Times New Roman" w:eastAsia="仿宋_GB2312"/>
          <w:color w:val="auto"/>
          <w:sz w:val="32"/>
          <w:szCs w:val="40"/>
        </w:rPr>
        <w:t>12345</w:t>
      </w:r>
      <w:r>
        <w:rPr>
          <w:rFonts w:hint="eastAsia" w:ascii="Times New Roman" w:hAnsi="Times New Roman" w:eastAsia="仿宋_GB2312"/>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b w:val="0"/>
          <w:bCs w:val="0"/>
          <w:color w:val="auto"/>
          <w:sz w:val="32"/>
          <w:szCs w:val="40"/>
        </w:rPr>
      </w:pPr>
      <w:r>
        <w:rPr>
          <w:rFonts w:hint="eastAsia" w:ascii="黑体" w:hAnsi="黑体" w:eastAsia="黑体"/>
          <w:b w:val="0"/>
          <w:bCs w:val="0"/>
          <w:color w:val="auto"/>
          <w:sz w:val="32"/>
          <w:szCs w:val="40"/>
        </w:rPr>
        <w:t>二、“健康码”转绿码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auto"/>
          <w:sz w:val="32"/>
          <w:szCs w:val="40"/>
        </w:rPr>
      </w:pPr>
      <w:r>
        <w:rPr>
          <w:rFonts w:hint="eastAsia" w:ascii="Times New Roman" w:hAnsi="Times New Roman" w:eastAsia="仿宋_GB2312"/>
          <w:color w:val="auto"/>
          <w:sz w:val="32"/>
          <w:szCs w:val="40"/>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b w:val="0"/>
          <w:bCs w:val="0"/>
          <w:color w:val="auto"/>
          <w:sz w:val="32"/>
          <w:szCs w:val="40"/>
          <w:lang w:val="en-US" w:eastAsia="zh-CN"/>
        </w:rPr>
      </w:pPr>
      <w:r>
        <w:rPr>
          <w:rFonts w:hint="eastAsia" w:ascii="Times New Roman" w:hAnsi="Times New Roman" w:eastAsia="黑体"/>
          <w:b w:val="0"/>
          <w:bCs w:val="0"/>
          <w:color w:val="auto"/>
          <w:sz w:val="32"/>
          <w:szCs w:val="40"/>
          <w:lang w:val="en-US" w:eastAsia="zh-CN"/>
        </w:rPr>
        <w:t>国务院疫情防控行程卡申领指南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i w:val="0"/>
          <w:iCs w:val="0"/>
          <w:caps w:val="0"/>
          <w:color w:val="auto"/>
          <w:spacing w:val="0"/>
          <w:kern w:val="0"/>
          <w:sz w:val="32"/>
          <w:szCs w:val="32"/>
          <w:lang w:val="en-US" w:eastAsia="zh-CN" w:bidi="ar"/>
        </w:rPr>
      </w:pPr>
      <w:r>
        <w:rPr>
          <w:rFonts w:hint="eastAsia" w:ascii="Times New Roman" w:hAnsi="Times New Roman" w:eastAsia="仿宋_GB2312"/>
          <w:color w:val="auto"/>
          <w:sz w:val="32"/>
          <w:szCs w:val="40"/>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p>
      <w:pPr>
        <w:rPr>
          <w:color w:val="auto"/>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光粗黑_CNKI">
    <w:altName w:val="黑体"/>
    <w:panose1 w:val="020005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6A13"/>
    <w:rsid w:val="138050AC"/>
    <w:rsid w:val="1AF4583E"/>
    <w:rsid w:val="2A8A4210"/>
    <w:rsid w:val="4C825943"/>
    <w:rsid w:val="5D430FC2"/>
    <w:rsid w:val="7C56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2021-11-14T03:21:00Z</dcterms:created>
  <dc:creator>WCP</dc:creator>
  <cp:lastModifiedBy>Administrator</cp:lastModifiedBy>
  <dcterms:modified xsi:type="dcterms:W3CDTF">2021-12-31T05:27:04Z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FEB3F1F7EA804D9196FEB7E70EF2FFD2</vt:lpwstr>
  </property>
</Properties>
</file>